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7B7E63" w:rsidP="007B7E63">
      <w:pPr>
        <w:widowControl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  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5622D1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5622D1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48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1435" w:rsidRDefault="005622D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48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1435" w:rsidRDefault="005622D1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748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B51435" w:rsidRDefault="005622D1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7486D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401F0" w:rsidRPr="001A63B2" w:rsidRDefault="005622D1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475243">
        <w:rPr>
          <w:sz w:val="26"/>
          <w:szCs w:val="26"/>
        </w:rPr>
        <w:t>при подаче заявленияна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2"/>
      </w:r>
      <w:r w:rsidR="00624F56">
        <w:rPr>
          <w:sz w:val="26"/>
          <w:szCs w:val="26"/>
        </w:rPr>
        <w:t>;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–инвалидов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 xml:space="preserve">,при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в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4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обучающиесяпо адаптированнымосновным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(диабет, онкология, астма, порок сердца, энурез,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>опускается рассадка слепых, поздноослепших</w:t>
      </w:r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>
        <w:rPr>
          <w:sz w:val="26"/>
          <w:szCs w:val="26"/>
        </w:rPr>
        <w:t>лиц</w:t>
      </w:r>
      <w:r w:rsidR="00B11A89" w:rsidRPr="001A63B2">
        <w:rPr>
          <w:sz w:val="26"/>
          <w:szCs w:val="26"/>
        </w:rPr>
        <w:t>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81CE7" w:rsidRPr="001A63B2">
        <w:rPr>
          <w:sz w:val="26"/>
          <w:szCs w:val="26"/>
        </w:rPr>
        <w:t>на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тифлопереводчиками.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(Arial /Verdana).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тифлопереводчиков,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ответов)</w:t>
      </w:r>
      <w:r w:rsidR="00EA7D3F" w:rsidRPr="001A63B2">
        <w:rPr>
          <w:sz w:val="26"/>
          <w:szCs w:val="26"/>
        </w:rPr>
        <w:t>в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оторой работает комиссия тифлопереводчиков)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.Для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на дому,в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указанном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>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позднее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организован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9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компьютерабез выхода 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– экранной лупой 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</w:t>
      </w:r>
      <w:r w:rsidRPr="001A63B2">
        <w:rPr>
          <w:sz w:val="26"/>
          <w:szCs w:val="26"/>
        </w:rPr>
        <w:lastRenderedPageBreak/>
        <w:t xml:space="preserve">приглашает комиссию тифлопереводчиков  для работы по переводу. Тифлопереводчики работаютв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 xml:space="preserve"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0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1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1A63B2">
        <w:rPr>
          <w:bCs/>
          <w:i/>
          <w:sz w:val="26"/>
          <w:szCs w:val="26"/>
        </w:rPr>
        <w:t>ПО</w:t>
      </w:r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</w:t>
      </w:r>
      <w:r w:rsidR="00912149" w:rsidRPr="001A63B2">
        <w:rPr>
          <w:rFonts w:ascii="Times New Roman" w:hAnsi="Times New Roman"/>
          <w:bCs/>
          <w:sz w:val="26"/>
          <w:szCs w:val="26"/>
        </w:rPr>
        <w:lastRenderedPageBreak/>
        <w:t xml:space="preserve">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19"/>
      <w:bookmarkEnd w:id="20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>воей работе тифлопереводчиков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), сурдопереводчиков</w:t>
      </w:r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 xml:space="preserve">Министерства просвещения Российской Федерации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iCs/>
          <w:sz w:val="26"/>
          <w:szCs w:val="26"/>
        </w:rPr>
        <w:t xml:space="preserve">(зарегистрирован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2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r w:rsidRPr="001A63B2">
        <w:rPr>
          <w:sz w:val="26"/>
          <w:szCs w:val="26"/>
        </w:rPr>
        <w:t xml:space="preserve">Тифлопереводчики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r w:rsidRPr="001A63B2">
        <w:rPr>
          <w:bCs/>
          <w:sz w:val="26"/>
          <w:szCs w:val="26"/>
        </w:rPr>
        <w:t>тифлопереводчиков</w:t>
      </w:r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амяткой </w:t>
      </w:r>
      <w:r w:rsidRPr="001A63B2">
        <w:rPr>
          <w:sz w:val="26"/>
          <w:szCs w:val="26"/>
        </w:rPr>
        <w:lastRenderedPageBreak/>
        <w:t>кодировками</w:t>
      </w:r>
      <w:r w:rsidR="00B11A89" w:rsidRPr="001A63B2">
        <w:rPr>
          <w:sz w:val="26"/>
          <w:szCs w:val="26"/>
        </w:rPr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r w:rsidRPr="001A63B2">
        <w:rPr>
          <w:bCs/>
          <w:sz w:val="26"/>
          <w:szCs w:val="26"/>
        </w:rPr>
        <w:t>тифлопереводчика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>, напечатанная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тифлопереводчиков  для работы по переводу. Тифлопереводчики работаютв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 xml:space="preserve">и увеличенные) и черновики. КИМ (стандартного размера и увеличенные)и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 xml:space="preserve">.Шрифт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</w:t>
            </w:r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 xml:space="preserve">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448" w:rsidRDefault="007E0448" w:rsidP="00E26F70">
      <w:r>
        <w:separator/>
      </w:r>
    </w:p>
  </w:endnote>
  <w:endnote w:type="continuationSeparator" w:id="1">
    <w:p w:rsidR="007E0448" w:rsidRDefault="007E0448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5622D1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47486D">
          <w:rPr>
            <w:noProof/>
          </w:rPr>
          <w:t>2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448" w:rsidRDefault="007E0448" w:rsidP="00E26F70">
      <w:r>
        <w:separator/>
      </w:r>
    </w:p>
  </w:footnote>
  <w:footnote w:type="continuationSeparator" w:id="1">
    <w:p w:rsidR="007E0448" w:rsidRDefault="007E0448" w:rsidP="00E26F70">
      <w:r>
        <w:continuationSeparator/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3">
    <w:p w:rsidR="00ED13C1" w:rsidRDefault="00ED13C1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4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 (-ами).</w:t>
      </w:r>
    </w:p>
  </w:footnote>
  <w:footnote w:id="5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7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8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2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486D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622D1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7E0448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CEB-0F08-4CF5-A5D6-90AF6C0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9838</Words>
  <Characters>56083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Лицей 24</cp:lastModifiedBy>
  <cp:revision>29</cp:revision>
  <cp:lastPrinted>2019-01-14T08:20:00Z</cp:lastPrinted>
  <dcterms:created xsi:type="dcterms:W3CDTF">2018-04-26T15:02:00Z</dcterms:created>
  <dcterms:modified xsi:type="dcterms:W3CDTF">2019-01-14T08:20:00Z</dcterms:modified>
</cp:coreProperties>
</file>